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lang w:eastAsia="zh-CN"/>
          <w14:shadow w14:blurRad="50800" w14:dist="38100" w14:dir="2700000" w14:sx="100000" w14:sy="100000" w14:kx="0" w14:ky="0" w14:algn="tl">
            <w14:srgbClr w14:val="000000">
              <w14:alpha w14:val="90000"/>
            </w14:srgbClr>
          </w14:shadow>
        </w:rPr>
        <w:t>《</w:t>
      </w: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老年人解剖与生理</w:t>
      </w:r>
      <w:bookmarkStart w:id="0" w:name="_GoBack"/>
      <w:bookmarkEnd w:id="0"/>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rPr>
        <w:t>第</w:t>
      </w:r>
      <w:r>
        <w:rPr>
          <w:rFonts w:hint="eastAsia" w:ascii="微软简老宋" w:hAnsi="微软简老宋" w:eastAsia="微软简老宋" w:cs="微软简老宋"/>
          <w:b w:val="0"/>
          <w:bCs w:val="0"/>
          <w:color w:val="7030A0"/>
          <w:sz w:val="32"/>
          <w:szCs w:val="32"/>
          <w:lang w:val="en-US" w:eastAsia="zh-CN"/>
        </w:rPr>
        <w:t>十三章  能量代谢与体温调节</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能量代谢与体温调节</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80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716BBF50">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default"/>
                <w:color w:val="231F20"/>
                <w:spacing w:val="-1"/>
              </w:rPr>
              <w:t>熟悉影响能量代谢的因素、机体产热和散热过程，体温的生理性波动和测量方法。</w:t>
            </w:r>
          </w:p>
          <w:p w14:paraId="3050DB1F">
            <w:pPr>
              <w:pStyle w:val="8"/>
              <w:keepNext w:val="0"/>
              <w:keepLines w:val="0"/>
              <w:suppressLineNumbers w:val="0"/>
              <w:spacing w:before="19" w:beforeAutospacing="0" w:after="0" w:afterAutospacing="0" w:line="202" w:lineRule="auto"/>
              <w:ind w:left="0" w:right="20"/>
              <w:rPr>
                <w:rFonts w:hint="default" w:ascii="Times New Roman" w:hAnsi="Times New Roman" w:eastAsia="Times New Roman" w:cs="Times New Roman"/>
                <w:color w:val="231F20"/>
                <w:spacing w:val="-1"/>
                <w:kern w:val="2"/>
                <w:sz w:val="21"/>
                <w:szCs w:val="22"/>
                <w:lang w:val="en-US" w:eastAsia="zh-CN" w:bidi="ar-SA"/>
              </w:rPr>
            </w:pPr>
            <w:r>
              <w:rPr>
                <w:rFonts w:hint="default" w:ascii="Times New Roman" w:hAnsi="Times New Roman"/>
                <w:sz w:val="24"/>
                <w:szCs w:val="24"/>
              </w:rPr>
              <w:t>2</w:t>
            </w:r>
            <w:r>
              <w:rPr>
                <w:rFonts w:hint="default" w:ascii="Times New Roman" w:hAnsi="Times New Roman" w:eastAsia="Times New Roman" w:cs="Times New Roman"/>
                <w:color w:val="231F20"/>
                <w:spacing w:val="-1"/>
                <w:kern w:val="2"/>
                <w:sz w:val="21"/>
                <w:szCs w:val="22"/>
                <w:lang w:val="en-US" w:eastAsia="zh-CN" w:bidi="ar-SA"/>
              </w:rPr>
              <w:t>．掌握能量代谢、呼吸商、体温调定点的概念，以及基础状态的条件、基础代谢率的 概念与临床意义。</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74B4BE9B">
            <w:pPr>
              <w:keepNext w:val="0"/>
              <w:keepLines w:val="0"/>
              <w:suppressLineNumbers w:val="0"/>
              <w:spacing w:before="0" w:beforeAutospacing="0" w:after="0" w:afterAutospacing="0" w:line="360" w:lineRule="auto"/>
              <w:ind w:left="0" w:right="0" w:hanging="8"/>
              <w:rPr>
                <w:rFonts w:hint="default"/>
              </w:rPr>
            </w:pPr>
            <w:r>
              <w:rPr>
                <w:rFonts w:hint="eastAsia" w:ascii="Times New Roman" w:hAnsi="宋体"/>
                <w:bCs/>
                <w:sz w:val="24"/>
                <w:szCs w:val="24"/>
              </w:rPr>
              <w:t>让学生</w:t>
            </w:r>
            <w:r>
              <w:rPr>
                <w:rFonts w:hint="default"/>
                <w:color w:val="231F20"/>
                <w:spacing w:val="7"/>
              </w:rPr>
              <w:t>拥有自我驱动学习专业技能的觉悟，意识到在专业知识领域不断深化</w:t>
            </w:r>
            <w:r>
              <w:rPr>
                <w:rFonts w:hint="default"/>
                <w:color w:val="231F20"/>
                <w:spacing w:val="6"/>
              </w:rPr>
              <w:t>与拓展的重</w:t>
            </w:r>
            <w:r>
              <w:rPr>
                <w:rFonts w:hint="default"/>
                <w:color w:val="231F20"/>
              </w:rPr>
              <w:t xml:space="preserve"> </w:t>
            </w:r>
            <w:r>
              <w:rPr>
                <w:rFonts w:hint="default"/>
                <w:color w:val="231F20"/>
                <w:spacing w:val="-7"/>
              </w:rPr>
              <w:t>要性。</w:t>
            </w:r>
          </w:p>
          <w:p w14:paraId="03BE8A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4E2D1868">
            <w:pPr>
              <w:pStyle w:val="8"/>
              <w:keepNext w:val="0"/>
              <w:keepLines w:val="0"/>
              <w:suppressLineNumbers w:val="0"/>
              <w:spacing w:before="19" w:beforeAutospacing="0" w:after="0" w:afterAutospacing="0" w:line="202" w:lineRule="auto"/>
              <w:ind w:left="0" w:right="20"/>
              <w:rPr>
                <w:rFonts w:hint="eastAsia" w:ascii="Times New Roman" w:hAnsi="Times New Roman" w:eastAsia="宋体"/>
                <w:sz w:val="24"/>
                <w:szCs w:val="24"/>
                <w:lang w:eastAsia="zh-CN"/>
              </w:rPr>
            </w:pPr>
            <w:r>
              <w:rPr>
                <w:rFonts w:hint="eastAsia" w:ascii="Times New Roman" w:hAnsi="Times New Roman"/>
                <w:b/>
                <w:color w:val="7030A0"/>
                <w:sz w:val="24"/>
                <w:szCs w:val="24"/>
              </w:rPr>
              <w:t>教学重点：</w:t>
            </w:r>
            <w:r>
              <w:rPr>
                <w:rFonts w:hint="default"/>
                <w:color w:val="231F20"/>
                <w:spacing w:val="1"/>
              </w:rPr>
              <w:t>能量代谢、呼吸商、体温调定点的概念，以及基础状态的条件、基础代谢率的</w:t>
            </w:r>
            <w:r>
              <w:rPr>
                <w:rFonts w:hint="default"/>
                <w:color w:val="231F20"/>
                <w:spacing w:val="-4"/>
              </w:rPr>
              <w:t>概念与临床意义。</w:t>
            </w:r>
          </w:p>
          <w:p w14:paraId="3D51F382">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val="en-US" w:eastAsia="zh-CN"/>
              </w:rPr>
            </w:pPr>
            <w:r>
              <w:rPr>
                <w:rFonts w:hint="eastAsia" w:ascii="Times New Roman" w:hAnsi="Times New Roman"/>
                <w:b/>
                <w:color w:val="7030A0"/>
                <w:sz w:val="24"/>
                <w:szCs w:val="24"/>
              </w:rPr>
              <w:t>教学难点：</w:t>
            </w:r>
            <w:r>
              <w:rPr>
                <w:rFonts w:hint="default" w:ascii="Times New Roman" w:hAnsi="Times New Roman" w:eastAsia="Times New Roman" w:cs="Times New Roman"/>
                <w:color w:val="231F20"/>
                <w:spacing w:val="-1"/>
                <w:kern w:val="2"/>
                <w:sz w:val="21"/>
                <w:szCs w:val="22"/>
                <w:lang w:val="en-US" w:eastAsia="zh-CN" w:bidi="ar-SA"/>
              </w:rPr>
              <w:t>呼吸商、体温调定点的概念</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eastAsia" w:ascii="Times New Roman" w:hAnsi="宋体"/>
                <w:sz w:val="24"/>
                <w:szCs w:val="24"/>
                <w:lang w:val="en-US" w:eastAsia="zh-CN"/>
              </w:rPr>
              <w:t>35</w:t>
            </w:r>
            <w:r>
              <w:rPr>
                <w:rFonts w:hint="eastAsia" w:ascii="Times New Roman" w:hAnsi="宋体"/>
                <w:sz w:val="24"/>
                <w:szCs w:val="24"/>
              </w:rPr>
              <w:t>min）</w:t>
            </w:r>
            <w:r>
              <w:rPr>
                <w:rFonts w:hint="eastAsia" w:ascii="Times New Roman" w:hAnsi="宋体"/>
                <w:sz w:val="24"/>
                <w:szCs w:val="24"/>
                <w:lang w:val="en-US" w:eastAsia="zh-CN"/>
              </w:rPr>
              <w:t>--作业布置（3min）</w:t>
            </w:r>
          </w:p>
          <w:p w14:paraId="1563999A">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w:t>
            </w:r>
            <w:r>
              <w:rPr>
                <w:rFonts w:hint="eastAsia" w:ascii="Times New Roman" w:hAnsi="宋体"/>
                <w:sz w:val="24"/>
                <w:szCs w:val="24"/>
                <w:lang w:val="en-US" w:eastAsia="zh-CN"/>
              </w:rPr>
              <w:t>35</w:t>
            </w:r>
            <w:r>
              <w:rPr>
                <w:rFonts w:hint="eastAsia" w:ascii="Times New Roman" w:hAnsi="宋体"/>
                <w:sz w:val="24"/>
                <w:szCs w:val="24"/>
              </w:rPr>
              <w:t>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35</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D161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【教师】</w:t>
            </w:r>
          </w:p>
          <w:p w14:paraId="0D203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导入</w:t>
            </w:r>
          </w:p>
          <w:p w14:paraId="2FBF7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1、通过提问引发学生思考：“为什么老年人在冬天更怕冷，夏天更怕热呢？”</w:t>
            </w:r>
          </w:p>
          <w:p w14:paraId="40CC6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2、简单介绍本单元的学习内容和重要性，强调了解老年人能量代谢与体温调节特点对未来从事医疗工作的意义。</w:t>
            </w:r>
          </w:p>
          <w:p w14:paraId="3E819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3、引出中国代谢和呼吸生理学研究的先驱沈隽淇的事迹，激发学生的学习热情和对科学的崇敬之情。</w:t>
            </w:r>
          </w:p>
          <w:p w14:paraId="4A1311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p>
          <w:p w14:paraId="66EC1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机体能量的来源和去路</w:t>
            </w:r>
          </w:p>
          <w:p w14:paraId="7C90C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1.能量的来源</w:t>
            </w:r>
          </w:p>
          <w:p w14:paraId="79F298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w:t>
            </w:r>
            <w:r>
              <w:rPr>
                <w:rFonts w:hint="default" w:ascii="Times New Roman" w:hAnsi="Times New Roman" w:eastAsia="宋体"/>
                <w:b w:val="0"/>
                <w:bCs/>
                <w:color w:val="000000" w:themeColor="text1"/>
                <w:sz w:val="24"/>
                <w:szCs w:val="24"/>
                <w:lang w:val="en-US" w:eastAsia="zh-CN"/>
                <w14:textFill>
                  <w14:solidFill>
                    <w14:schemeClr w14:val="tx1"/>
                  </w14:solidFill>
                </w14:textFill>
              </w:rPr>
              <w:t>糖（glucose）：基本的供能物质，供能占70％以上。通过有 O2氧化和无氧酵解供能</w:t>
            </w:r>
          </w:p>
          <w:p w14:paraId="6C12F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w:t>
            </w:r>
            <w:r>
              <w:rPr>
                <w:rFonts w:hint="default" w:ascii="Times New Roman" w:hAnsi="Times New Roman" w:eastAsia="宋体"/>
                <w:b w:val="0"/>
                <w:bCs/>
                <w:color w:val="000000" w:themeColor="text1"/>
                <w:sz w:val="24"/>
                <w:szCs w:val="24"/>
                <w:lang w:val="en-US" w:eastAsia="zh-CN"/>
                <w14:textFill>
                  <w14:solidFill>
                    <w14:schemeClr w14:val="tx1"/>
                  </w14:solidFill>
                </w14:textFill>
              </w:rPr>
              <w:t>脂肪（fat）：重要的贮能和供能物质，氧化时释放的能量多。短期饥饿时供能</w:t>
            </w:r>
          </w:p>
          <w:p w14:paraId="33DF4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b w:val="0"/>
                <w:bCs/>
                <w:color w:val="000000" w:themeColor="text1"/>
                <w:sz w:val="24"/>
                <w:szCs w:val="24"/>
                <w:lang w:val="en-US" w:eastAsia="zh-CN"/>
                <w14:textFill>
                  <w14:solidFill>
                    <w14:schemeClr w14:val="tx1"/>
                  </w14:solidFill>
                </w14:textFill>
              </w:rPr>
              <w:t>蛋白质（protein）：特殊情况下供能，在体内氧化不彻底</w:t>
            </w:r>
          </w:p>
          <w:p w14:paraId="0F2F4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p>
          <w:p w14:paraId="753C6F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2.ATP 在能量代谢中的作用</w:t>
            </w:r>
          </w:p>
          <w:p w14:paraId="28B1A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 xml:space="preserve">    ATP：重要的贮能物质和直接的供能物质</w:t>
            </w:r>
          </w:p>
          <w:p w14:paraId="617CF6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p>
          <w:p w14:paraId="5BE2AB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3.能量的转移、贮存和利用</w:t>
            </w:r>
          </w:p>
          <w:p w14:paraId="1C47C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能源物质在体内氧化时所释放的能量约 50%直接转变为热能，用于维持体温，并向外界散  发。其余不足 50% 是可被机体利用的自由能，这部分能量不能为细胞直接利用，必须先以化学  能的形式转移并贮存于 ATP 的高能磷酸键内。</w:t>
            </w:r>
          </w:p>
          <w:p w14:paraId="19F87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 xml:space="preserve">  </w:t>
            </w:r>
          </w:p>
          <w:p w14:paraId="209239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三、能量代谢的测定</w:t>
            </w:r>
          </w:p>
          <w:p w14:paraId="0A181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1.直接测定法</w:t>
            </w:r>
          </w:p>
          <w:p w14:paraId="150C1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指通过收集机体在一定时间内散发出的总热量求得能量代谢率的方法。</w:t>
            </w:r>
          </w:p>
          <w:p w14:paraId="5F376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2.间接测定法</w:t>
            </w:r>
          </w:p>
          <w:p w14:paraId="7FC858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根据化学反应的定比定律，即在一般化学反应中，反应物的量与产物量之间呈一定的比例关系。</w:t>
            </w:r>
          </w:p>
          <w:p w14:paraId="68A8C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3.与间接测热法有关的几个概念</w:t>
            </w:r>
          </w:p>
          <w:p w14:paraId="74B22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 xml:space="preserve"> （ 1）食物热价。 1 g 食物分解氧化时所释放的热量，称为该食物的热价。</w:t>
            </w:r>
          </w:p>
          <w:p w14:paraId="3B0E19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（2）食物的氧热价。某种食物分解氧化时消耗 1L 氧所释放的热量，称为该食物的氧热价。</w:t>
            </w:r>
          </w:p>
          <w:p w14:paraId="40DF9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 3）呼吸商与非蛋白呼吸商。 一定时间内机体的 CO2  生成量与耗 O2  量的比值，称为呼吸商。</w:t>
            </w:r>
          </w:p>
          <w:p w14:paraId="779270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四、影响能量代谢的因素</w:t>
            </w:r>
          </w:p>
          <w:p w14:paraId="3FA51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1.肌肉活动</w:t>
            </w:r>
          </w:p>
          <w:p w14:paraId="0986E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 xml:space="preserve">      显著影响能量代谢，耗氧量同肌肉活动的强度呈正比关系，剧烈活动时可达安静时的10~20倍</w:t>
            </w:r>
          </w:p>
          <w:p w14:paraId="718BF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2.环境温度</w:t>
            </w:r>
          </w:p>
          <w:p w14:paraId="68A58E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安静状态、环境温度在20~30℃时代谢最稳定</w:t>
            </w:r>
          </w:p>
          <w:p w14:paraId="53BFF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3.精神活动</w:t>
            </w:r>
          </w:p>
          <w:p w14:paraId="1E71D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 xml:space="preserve"> 精神处于紧张状态时肌肉张力增强，促进机体代谢活动的激素释放增多，使能量代谢率升高。但中枢神经系统本身的代谢率增加并不明显</w:t>
            </w:r>
          </w:p>
          <w:p w14:paraId="61C5E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4.食物的特殊动力效应（specific dynamic effect of food）</w:t>
            </w:r>
          </w:p>
          <w:p w14:paraId="22582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由食物引起机体额外增加产热量的现象</w:t>
            </w:r>
            <w:r>
              <w:rPr>
                <w:rFonts w:hint="eastAsia" w:ascii="Times New Roman" w:hAnsi="Times New Roman" w:eastAsia="宋体"/>
                <w:b w:val="0"/>
                <w:bCs/>
                <w:color w:val="000000" w:themeColor="text1"/>
                <w:sz w:val="24"/>
                <w:szCs w:val="24"/>
                <w:lang w:val="en-US" w:eastAsia="zh-CN"/>
                <w14:textFill>
                  <w14:solidFill>
                    <w14:schemeClr w14:val="tx1"/>
                  </w14:solidFill>
                </w14:textFill>
              </w:rPr>
              <w:t>。</w:t>
            </w:r>
          </w:p>
          <w:p w14:paraId="74731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五、基础代谢及基础代谢率</w:t>
            </w:r>
          </w:p>
          <w:p w14:paraId="6C38B7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w:t>
            </w:r>
            <w:r>
              <w:rPr>
                <w:rFonts w:hint="default" w:ascii="Times New Roman" w:hAnsi="Times New Roman" w:eastAsia="宋体"/>
                <w:b w:val="0"/>
                <w:bCs/>
                <w:color w:val="000000" w:themeColor="text1"/>
                <w:sz w:val="24"/>
                <w:szCs w:val="24"/>
                <w:lang w:val="en-US" w:eastAsia="zh-CN"/>
                <w14:textFill>
                  <w14:solidFill>
                    <w14:schemeClr w14:val="tx1"/>
                  </w14:solidFill>
                </w14:textFill>
              </w:rPr>
              <w:t>基础代谢（basal metabolism）：指基础状态下的能量代谢</w:t>
            </w:r>
          </w:p>
          <w:p w14:paraId="512DB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w:t>
            </w:r>
            <w:r>
              <w:rPr>
                <w:rFonts w:hint="default" w:ascii="Times New Roman" w:hAnsi="Times New Roman" w:eastAsia="宋体"/>
                <w:b w:val="0"/>
                <w:bCs/>
                <w:color w:val="000000" w:themeColor="text1"/>
                <w:sz w:val="24"/>
                <w:szCs w:val="24"/>
                <w:lang w:val="en-US" w:eastAsia="zh-CN"/>
                <w14:textFill>
                  <w14:solidFill>
                    <w14:schemeClr w14:val="tx1"/>
                  </w14:solidFill>
                </w14:textFill>
              </w:rPr>
              <w:t>基础代谢率（basal metabolism rate, BMR）：在基础状态下单位时间的能量代谢量 [ kJ/（m2·h）]</w:t>
            </w:r>
          </w:p>
          <w:p w14:paraId="7B630A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b w:val="0"/>
                <w:bCs/>
                <w:color w:val="000000" w:themeColor="text1"/>
                <w:sz w:val="24"/>
                <w:szCs w:val="24"/>
                <w:lang w:val="en-US" w:eastAsia="zh-CN"/>
                <w14:textFill>
                  <w14:solidFill>
                    <w14:schemeClr w14:val="tx1"/>
                  </w14:solidFill>
                </w14:textFill>
              </w:rPr>
              <w:t>基础状态：清晨、清醒、静卧，未作肌肉活动，测定时无精神紧张，测定前至少空腹12小时，室温保持在20～25℃</w:t>
            </w:r>
          </w:p>
          <w:p w14:paraId="514EE0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六、老年人的能量代谢特点</w:t>
            </w:r>
          </w:p>
          <w:p w14:paraId="713CB8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1.老年人基础代谢率下降：老年人因肌肉量减少（肌肉静息耗能远高于脂肪）、细胞内线粒体功能衰退（能量产生效率降低），基础代谢率每年下降 1%～2%。与年轻人相比，相同身体成分和活动量下，老年人每日基础代谢耗能可能少 200～400 千卡，若饮食不调整，易因能量过剩引发肥胖及心血管疾病、糖尿病等慢性病。</w:t>
            </w:r>
          </w:p>
          <w:p w14:paraId="311F3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2.活动量减少及能量消耗改变：老年人因身体机能衰退（如关节问题、骨质疏松）和生活方式变化（退休后体力活动锐减），活动量显著下降。尽管相同活动中因肌肉力量弱、运动效率低需更多能量，但总体能量消耗大幅降低。这易导致能量过剩引发肥胖，还会因缺乏运动加剧肌肉萎缩（增加跌倒风险）、骨质疏松（易骨折）。</w:t>
            </w:r>
          </w:p>
          <w:p w14:paraId="35CD6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p>
          <w:p w14:paraId="7A733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3.能量代谢调节能力减弱：老年人内分泌系统功能变化影响能量代谢调节：甲状腺素分泌减少使代谢速度减慢，基础代谢率可能降低 20%～30%；胰岛素敏感性下降导致血糖调节失衡，引发疲劳和肥胖。同时，身体对能量平衡的调节滞后，摄入过多时难以及时消耗能量，摄入过少时无法及时减少消耗，易出现体重异常及健康问题。</w:t>
            </w:r>
          </w:p>
          <w:p w14:paraId="3F8E40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p>
          <w:p w14:paraId="50BEE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【学生】思考、讨论。</w:t>
            </w:r>
          </w:p>
        </w:tc>
        <w:tc>
          <w:tcPr>
            <w:tcW w:w="1696" w:type="dxa"/>
            <w:tcBorders>
              <w:tl2br w:val="nil"/>
              <w:tr2bl w:val="nil"/>
            </w:tcBorders>
            <w:vAlign w:val="center"/>
          </w:tcPr>
          <w:p w14:paraId="2B47804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r>
              <w:rPr>
                <w:rFonts w:hint="eastAsia" w:ascii="Times New Roman" w:hAnsi="Times New Roman"/>
                <w:b/>
                <w:sz w:val="24"/>
                <w:szCs w:val="24"/>
                <w:lang w:val="en-US" w:eastAsia="zh-CN"/>
              </w:rPr>
              <w:t>激发学生的学习兴趣</w:t>
            </w:r>
          </w:p>
          <w:p w14:paraId="77FD8B3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B5BF9A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95D1CC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4B0146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r>
              <w:rPr>
                <w:rFonts w:hint="eastAsia" w:ascii="Times New Roman" w:hAnsi="Times New Roman"/>
                <w:b/>
                <w:sz w:val="24"/>
                <w:szCs w:val="24"/>
              </w:rPr>
              <w:t>通过教师讲解，</w:t>
            </w:r>
            <w:r>
              <w:rPr>
                <w:rFonts w:hint="eastAsia" w:ascii="Times New Roman" w:hAnsi="Times New Roman"/>
                <w:b/>
                <w:sz w:val="24"/>
                <w:szCs w:val="24"/>
                <w:lang w:val="en-US" w:eastAsia="zh-CN"/>
              </w:rPr>
              <w:t>让掌握能量代谢的基本理论知</w:t>
            </w:r>
            <w:r>
              <w:rPr>
                <w:rFonts w:hint="eastAsia" w:ascii="Times New Roman" w:hAnsi="Times New Roman"/>
                <w:b/>
                <w:sz w:val="24"/>
                <w:szCs w:val="24"/>
              </w:rPr>
              <w:t>识</w:t>
            </w:r>
            <w:r>
              <w:rPr>
                <w:rFonts w:hint="eastAsia" w:ascii="Times New Roman" w:hAnsi="Times New Roman"/>
                <w:b/>
                <w:sz w:val="24"/>
                <w:szCs w:val="24"/>
                <w:lang w:eastAsia="zh-CN"/>
              </w:rPr>
              <w:t>，</w:t>
            </w:r>
            <w:r>
              <w:rPr>
                <w:rFonts w:hint="eastAsia" w:ascii="Times New Roman" w:hAnsi="Times New Roman"/>
                <w:b/>
                <w:sz w:val="24"/>
                <w:szCs w:val="24"/>
                <w:lang w:val="en-US" w:eastAsia="zh-CN"/>
              </w:rPr>
              <w:t>及掌握老年人能量代谢的特点</w:t>
            </w:r>
            <w:r>
              <w:rPr>
                <w:rFonts w:hint="eastAsia" w:ascii="Times New Roman" w:hAnsi="Times New Roman"/>
                <w:b/>
                <w:sz w:val="24"/>
                <w:szCs w:val="24"/>
              </w:rPr>
              <w:t>。</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1F1AE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【教师】布置课后作业</w:t>
            </w:r>
          </w:p>
          <w:p w14:paraId="47E27E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16"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Times New Roman" w:cs="Times New Roman"/>
                <w:color w:val="231F20"/>
                <w:spacing w:val="18"/>
                <w:w w:val="101"/>
                <w:sz w:val="22"/>
                <w:szCs w:val="22"/>
              </w:rPr>
              <w:t xml:space="preserve"> </w:t>
            </w:r>
            <w:r>
              <w:rPr>
                <w:rFonts w:hint="eastAsia" w:ascii="Times New Roman" w:hAnsi="Times New Roman" w:eastAsia="宋体" w:cs="Times New Roman"/>
                <w:color w:val="231F20"/>
                <w:spacing w:val="18"/>
                <w:w w:val="101"/>
                <w:sz w:val="22"/>
                <w:szCs w:val="22"/>
                <w:lang w:val="en-US" w:eastAsia="zh-CN"/>
              </w:rPr>
              <w:t>简述老年人能量代谢的特点</w:t>
            </w:r>
          </w:p>
        </w:tc>
        <w:tc>
          <w:tcPr>
            <w:tcW w:w="169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6616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eastAsia="宋体"/>
                <w:b w:val="0"/>
                <w:bCs/>
                <w:color w:val="000000" w:themeColor="text1"/>
                <w:sz w:val="24"/>
                <w:szCs w:val="24"/>
                <w:lang w:val="en-US" w:eastAsia="zh-CN"/>
                <w14:textFill>
                  <w14:solidFill>
                    <w14:schemeClr w14:val="tx1"/>
                  </w14:solidFill>
                </w14:textFill>
              </w:rPr>
              <w:t>知识讲解</w:t>
            </w:r>
          </w:p>
          <w:p w14:paraId="79977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default" w:ascii="Times New Roman" w:hAnsi="Times New Roman" w:eastAsia="宋体"/>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b w:val="0"/>
                <w:bCs/>
                <w:color w:val="000000" w:themeColor="text1"/>
                <w:sz w:val="24"/>
                <w:szCs w:val="24"/>
                <w:lang w:val="en-US" w:eastAsia="zh-CN"/>
                <w14:textFill>
                  <w14:solidFill>
                    <w14:schemeClr w14:val="tx1"/>
                  </w14:solidFill>
                </w14:textFill>
              </w:rPr>
              <w:t>35min）</w:t>
            </w:r>
          </w:p>
        </w:tc>
        <w:tc>
          <w:tcPr>
            <w:tcW w:w="7208" w:type="dxa"/>
            <w:tcBorders>
              <w:tl2br w:val="nil"/>
              <w:tr2bl w:val="nil"/>
            </w:tcBorders>
            <w:vAlign w:val="center"/>
          </w:tcPr>
          <w:p w14:paraId="5E980A69">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【教师】展示体温调节</w:t>
            </w:r>
          </w:p>
          <w:p w14:paraId="66813B3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default" w:eastAsia="宋体"/>
                <w:lang w:val="en-US" w:eastAsia="zh-CN"/>
              </w:rPr>
              <w:t>一、</w:t>
            </w:r>
            <w:r>
              <w:rPr>
                <w:rFonts w:hint="eastAsia" w:eastAsia="宋体"/>
                <w:lang w:val="en-US" w:eastAsia="zh-CN"/>
              </w:rPr>
              <w:t>人体的正常体温及其生理波动</w:t>
            </w:r>
          </w:p>
          <w:p w14:paraId="1D6B4CC6">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1.体温的概念</w:t>
            </w:r>
          </w:p>
          <w:p w14:paraId="5658C0D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（1）表层温度：</w:t>
            </w:r>
            <w:r>
              <w:rPr>
                <w:rFonts w:hint="default" w:eastAsia="宋体"/>
              </w:rPr>
              <w:t>人 体 的 外 周 组 织 即 表 层， 包 括 皮 肤、 皮 下 组 织 和 肌 肉 等 的 温 度 称 为 表 层 温 度。</w:t>
            </w:r>
          </w:p>
          <w:p w14:paraId="3AFF753B">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eastAsia="zh-CN"/>
              </w:rPr>
            </w:pPr>
            <w:r>
              <w:rPr>
                <w:rFonts w:hint="eastAsia" w:eastAsia="宋体"/>
                <w:lang w:eastAsia="zh-CN"/>
              </w:rPr>
              <w:t>（</w:t>
            </w:r>
            <w:r>
              <w:rPr>
                <w:rFonts w:hint="eastAsia" w:eastAsia="宋体"/>
                <w:lang w:val="en-US" w:eastAsia="zh-CN"/>
              </w:rPr>
              <w:t>2</w:t>
            </w:r>
            <w:r>
              <w:rPr>
                <w:rFonts w:hint="eastAsia" w:eastAsia="宋体"/>
                <w:lang w:eastAsia="zh-CN"/>
              </w:rPr>
              <w:t>）</w:t>
            </w:r>
            <w:r>
              <w:rPr>
                <w:rFonts w:hint="eastAsia" w:eastAsia="宋体"/>
                <w:lang w:val="en-US" w:eastAsia="zh-CN"/>
              </w:rPr>
              <w:t>深部温度：</w:t>
            </w:r>
            <w:r>
              <w:rPr>
                <w:rFonts w:hint="default" w:eastAsia="宋体"/>
              </w:rPr>
              <w:t>机体深部（心、肺、脑和腹腔内脏等处）的温度称为深部温度</w:t>
            </w:r>
            <w:r>
              <w:rPr>
                <w:rFonts w:hint="eastAsia" w:eastAsia="宋体"/>
                <w:lang w:eastAsia="zh-CN"/>
              </w:rPr>
              <w:t>。</w:t>
            </w:r>
          </w:p>
          <w:p w14:paraId="77F7D01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eastAsia="zh-CN"/>
              </w:rPr>
              <w:t>（</w:t>
            </w:r>
            <w:r>
              <w:rPr>
                <w:rFonts w:hint="eastAsia" w:eastAsia="宋体"/>
                <w:lang w:val="en-US" w:eastAsia="zh-CN"/>
              </w:rPr>
              <w:t>3</w:t>
            </w:r>
            <w:r>
              <w:rPr>
                <w:rFonts w:hint="eastAsia" w:eastAsia="宋体"/>
                <w:lang w:eastAsia="zh-CN"/>
              </w:rPr>
              <w:t>）</w:t>
            </w:r>
            <w:r>
              <w:rPr>
                <w:rFonts w:hint="default" w:eastAsia="宋体"/>
              </w:rPr>
              <w:t>体温是指机体深部的平均温度</w:t>
            </w:r>
            <w:r>
              <w:rPr>
                <w:rFonts w:hint="eastAsia" w:eastAsia="宋体"/>
                <w:lang w:eastAsia="zh-CN"/>
              </w:rPr>
              <w:t>。</w:t>
            </w:r>
            <w:r>
              <w:rPr>
                <w:rFonts w:hint="default" w:eastAsia="宋体"/>
              </w:rPr>
              <w:t>由于体内各器官的代谢水平不同，它们的温度略有差别， 但不超过 1 ℃。在安静时，肝代谢最活跃，温度最高；其次，是心脏和消化腺。在运动时，骨骼  肌的温度最高。</w:t>
            </w:r>
          </w:p>
          <w:p w14:paraId="021B499C">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mc:AlternateContent>
                <mc:Choice Requires="wps">
                  <w:drawing>
                    <wp:anchor distT="0" distB="0" distL="114300" distR="114300" simplePos="0" relativeHeight="251662336" behindDoc="0" locked="0" layoutInCell="1" allowOverlap="1">
                      <wp:simplePos x="0" y="0"/>
                      <wp:positionH relativeFrom="column">
                        <wp:posOffset>5753100</wp:posOffset>
                      </wp:positionH>
                      <wp:positionV relativeFrom="paragraph">
                        <wp:posOffset>87630</wp:posOffset>
                      </wp:positionV>
                      <wp:extent cx="1125220" cy="6350"/>
                      <wp:effectExtent l="0" t="0" r="0" b="0"/>
                      <wp:wrapNone/>
                      <wp:docPr id="16" name="任意多边形 16"/>
                      <wp:cNvGraphicFramePr/>
                      <a:graphic xmlns:a="http://schemas.openxmlformats.org/drawingml/2006/main">
                        <a:graphicData uri="http://schemas.microsoft.com/office/word/2010/wordprocessingShape">
                          <wps:wsp>
                            <wps:cNvSpPr/>
                            <wps:spPr>
                              <a:xfrm>
                                <a:off x="0" y="0"/>
                                <a:ext cx="1125220" cy="6350"/>
                              </a:xfrm>
                              <a:custGeom>
                                <a:avLst/>
                                <a:gdLst/>
                                <a:ahLst/>
                                <a:cxnLst/>
                                <a:pathLst>
                                  <a:path w="1772" h="10">
                                    <a:moveTo>
                                      <a:pt x="0" y="5"/>
                                    </a:moveTo>
                                    <a:lnTo>
                                      <a:pt x="1771" y="5"/>
                                    </a:lnTo>
                                  </a:path>
                                </a:pathLst>
                              </a:custGeom>
                              <a:noFill/>
                              <a:ln w="6350" cap="flat" cmpd="sng">
                                <a:solidFill>
                                  <a:srgbClr val="00AEEF"/>
                                </a:solidFill>
                                <a:prstDash val="solid"/>
                                <a:miter lim="400000"/>
                                <a:headEnd type="none" w="med" len="med"/>
                                <a:tailEnd type="none" w="med" len="med"/>
                              </a:ln>
                            </wps:spPr>
                            <wps:bodyPr upright="1"/>
                          </wps:wsp>
                        </a:graphicData>
                      </a:graphic>
                    </wp:anchor>
                  </w:drawing>
                </mc:Choice>
                <mc:Fallback>
                  <w:pict>
                    <v:shape id="_x0000_s1026" o:spid="_x0000_s1026" o:spt="100" style="position:absolute;left:0pt;margin-left:453pt;margin-top:6.9pt;height:0.5pt;width:88.6pt;z-index:251662336;mso-width-relative:page;mso-height-relative:page;" filled="f" stroked="t" coordsize="1772,10" o:gfxdata="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IvK/w2AAAAAoBAAAPAAAAAAAAAAEAIAAA&#10;ACIAAABkcnMvZG93bnJldi54bWxQSwECFAAUAAAACACHTuJANibiH0UCAAClBAAADgAAAAAAAAAB&#10;ACAAAAAnAQAAZHJzL2Uyb0RvYy54bWxQSwUGAAAAAAYABgBZAQAA3gUAAAAA&#10;" path="m0,5l1771,5e">
                      <v:fill on="f" focussize="0,0"/>
                      <v:stroke weight="0.5pt" color="#00AEEF" miterlimit="4" joinstyle="miter"/>
                      <v:imagedata o:title=""/>
                      <o:lock v:ext="edit" aspectratio="f"/>
                    </v:shape>
                  </w:pict>
                </mc:Fallback>
              </mc:AlternateContent>
            </w:r>
            <w:r>
              <w:rPr>
                <w:rFonts w:hint="eastAsia" w:eastAsia="宋体"/>
                <w:lang w:val="en-US" w:eastAsia="zh-CN"/>
              </w:rPr>
              <w:t>2.体温的测定</w:t>
            </w:r>
          </w:p>
          <w:p w14:paraId="2483E9D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内脏和组织的温度，取决于：①局部的代谢水平；②通过该部位的血流量和血液的温度；③与周围组织间温度梯度的大小。临床上通常测定直肠温度、口腔温度、腋窝温度来反映体温。</w:t>
            </w:r>
          </w:p>
          <w:p w14:paraId="431E79F4">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3.体温的生理波动</w:t>
            </w:r>
          </w:p>
          <w:p w14:paraId="5852546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mc:AlternateContent>
                <mc:Choice Requires="wps">
                  <w:drawing>
                    <wp:anchor distT="0" distB="0" distL="114300" distR="114300" simplePos="0" relativeHeight="251663360" behindDoc="0" locked="0" layoutInCell="1" allowOverlap="1">
                      <wp:simplePos x="0" y="0"/>
                      <wp:positionH relativeFrom="column">
                        <wp:posOffset>6891655</wp:posOffset>
                      </wp:positionH>
                      <wp:positionV relativeFrom="paragraph">
                        <wp:posOffset>273685</wp:posOffset>
                      </wp:positionV>
                      <wp:extent cx="783590" cy="116967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783590" cy="1169670"/>
                              </a:xfrm>
                              <a:prstGeom prst="rect">
                                <a:avLst/>
                              </a:prstGeom>
                              <a:noFill/>
                              <a:ln>
                                <a:noFill/>
                              </a:ln>
                            </wps:spPr>
                            <wps:txbx>
                              <w:txbxContent>
                                <w:p w14:paraId="4E46A30E">
                                  <w:pPr>
                                    <w:spacing w:before="20" w:line="198" w:lineRule="auto"/>
                                    <w:ind w:left="20" w:right="20"/>
                                    <w:jc w:val="both"/>
                                    <w:rPr>
                                      <w:rFonts w:ascii="华文宋体" w:hAnsi="华文宋体" w:eastAsia="华文宋体" w:cs="华文宋体"/>
                                      <w:sz w:val="24"/>
                                      <w:szCs w:val="24"/>
                                    </w:rPr>
                                  </w:pPr>
                                  <w:r>
                                    <w:rPr>
                                      <w:rFonts w:ascii="华文宋体" w:hAnsi="华文宋体" w:eastAsia="华文宋体" w:cs="华文宋体"/>
                                      <w:color w:val="FF0000"/>
                                      <w:spacing w:val="-2"/>
                                      <w:sz w:val="24"/>
                                      <w:szCs w:val="24"/>
                                    </w:rPr>
                                    <w:t>标红的这句</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话删除，后</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面未标红的</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文字前加上</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这可能与下</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丘脑的生物</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钟功能有关</w:t>
                                  </w:r>
                                </w:p>
                              </w:txbxContent>
                            </wps:txbx>
                            <wps:bodyPr lIns="0" tIns="0" rIns="0" bIns="0" upright="1"/>
                          </wps:wsp>
                        </a:graphicData>
                      </a:graphic>
                    </wp:anchor>
                  </w:drawing>
                </mc:Choice>
                <mc:Fallback>
                  <w:pict>
                    <v:shape id="_x0000_s1026" o:spid="_x0000_s1026" o:spt="202" type="#_x0000_t202" style="position:absolute;left:0pt;margin-left:542.65pt;margin-top:21.55pt;height:92.1pt;width:61.7pt;z-index:251663360;mso-width-relative:page;mso-height-relative:page;" filled="f" stroked="f" coordsize="21600,21600" o:gfxdata="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4aTYv2gAAAAwBAAAPAAAAAAAAAAEAIAAAACIAAABkcnMvZG93bnJldi54bWxQ&#10;SwECFAAUAAAACACHTuJAX+t0TrwBAAB0AwAADgAAAAAAAAABACAAAAApAQAAZHJzL2Uyb0RvYy54&#10;bWxQSwUGAAAAAAYABgBZAQAAVwUAAAAA&#10;">
                      <v:fill on="f" focussize="0,0"/>
                      <v:stroke on="f"/>
                      <v:imagedata o:title=""/>
                      <o:lock v:ext="edit" aspectratio="f"/>
                      <v:textbox inset="0mm,0mm,0mm,0mm">
                        <w:txbxContent>
                          <w:p w14:paraId="4E46A30E">
                            <w:pPr>
                              <w:spacing w:before="20" w:line="198" w:lineRule="auto"/>
                              <w:ind w:left="20" w:right="20"/>
                              <w:jc w:val="both"/>
                              <w:rPr>
                                <w:rFonts w:ascii="华文宋体" w:hAnsi="华文宋体" w:eastAsia="华文宋体" w:cs="华文宋体"/>
                                <w:sz w:val="24"/>
                                <w:szCs w:val="24"/>
                              </w:rPr>
                            </w:pPr>
                            <w:r>
                              <w:rPr>
                                <w:rFonts w:ascii="华文宋体" w:hAnsi="华文宋体" w:eastAsia="华文宋体" w:cs="华文宋体"/>
                                <w:color w:val="FF0000"/>
                                <w:spacing w:val="-2"/>
                                <w:sz w:val="24"/>
                                <w:szCs w:val="24"/>
                              </w:rPr>
                              <w:t>标红的这句</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话删除，后</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面未标红的</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文字前加上</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这可能与下</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丘脑的生物</w:t>
                            </w:r>
                            <w:r>
                              <w:rPr>
                                <w:rFonts w:ascii="华文宋体" w:hAnsi="华文宋体" w:eastAsia="华文宋体" w:cs="华文宋体"/>
                                <w:color w:val="FF0000"/>
                                <w:spacing w:val="2"/>
                                <w:sz w:val="24"/>
                                <w:szCs w:val="24"/>
                              </w:rPr>
                              <w:t xml:space="preserve"> </w:t>
                            </w:r>
                            <w:r>
                              <w:rPr>
                                <w:rFonts w:ascii="华文宋体" w:hAnsi="华文宋体" w:eastAsia="华文宋体" w:cs="华文宋体"/>
                                <w:color w:val="FF0000"/>
                                <w:spacing w:val="-2"/>
                                <w:sz w:val="24"/>
                                <w:szCs w:val="24"/>
                              </w:rPr>
                              <w:t>钟功能有关</w:t>
                            </w:r>
                          </w:p>
                        </w:txbxContent>
                      </v:textbox>
                    </v:shape>
                  </w:pict>
                </mc:Fallback>
              </mc:AlternateContent>
            </w:r>
            <w:r>
              <w:rPr>
                <w:rFonts w:hint="eastAsia" w:eastAsia="宋体"/>
                <w:lang w:val="en-US" w:eastAsia="zh-CN"/>
              </w:rPr>
              <w:t>（1）昼夜变化。在一昼夜之中，人体体温呈周期性波动。清晨 2～6 时体温最低，午后 1～6 时最高。波动的幅值一般不超过 1℃。体温的这种昼夜周期性波动称为昼夜节律或日周期。体温 的这种周期性昼夜变化称为昼夜节律或日节律，与下丘脑的生物钟功能有关。</w:t>
            </w:r>
          </w:p>
          <w:p w14:paraId="2E1110F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（2）性别。成年女性的体温平均比男性高 0.3℃,女性体温随月经周期呈现节律性波动。 在排  卵后体温升高，这使体温升高一直持续至下次月经开始。这种现象很可能同性激素的分泌有关。 实验证明，这种变动性同血中孕激素及其代谢产物的变化相吻合。</w:t>
            </w:r>
          </w:p>
          <w:p w14:paraId="26405839">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mc:AlternateContent>
                <mc:Choice Requires="wps">
                  <w:drawing>
                    <wp:anchor distT="0" distB="0" distL="114300" distR="114300" simplePos="0" relativeHeight="251664384" behindDoc="0" locked="0" layoutInCell="1" allowOverlap="1">
                      <wp:simplePos x="0" y="0"/>
                      <wp:positionH relativeFrom="column">
                        <wp:posOffset>6913880</wp:posOffset>
                      </wp:positionH>
                      <wp:positionV relativeFrom="paragraph">
                        <wp:posOffset>156845</wp:posOffset>
                      </wp:positionV>
                      <wp:extent cx="47625" cy="88265"/>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47625" cy="88265"/>
                              </a:xfrm>
                              <a:prstGeom prst="rect">
                                <a:avLst/>
                              </a:prstGeom>
                              <a:noFill/>
                              <a:ln>
                                <a:noFill/>
                              </a:ln>
                            </wps:spPr>
                            <wps:txbx>
                              <w:txbxContent>
                                <w:p w14:paraId="5F5DDD24">
                                  <w:pPr>
                                    <w:spacing w:before="20" w:line="98" w:lineRule="exact"/>
                                    <w:ind w:right="1"/>
                                    <w:jc w:val="right"/>
                                    <w:rPr>
                                      <w:rFonts w:ascii="华文宋体" w:hAnsi="华文宋体" w:eastAsia="华文宋体" w:cs="华文宋体"/>
                                      <w:sz w:val="24"/>
                                      <w:szCs w:val="24"/>
                                    </w:rPr>
                                  </w:pPr>
                                  <w:r>
                                    <w:rPr>
                                      <w:rFonts w:ascii="华文宋体" w:hAnsi="华文宋体" w:eastAsia="华文宋体" w:cs="华文宋体"/>
                                      <w:color w:val="FF0000"/>
                                      <w:position w:val="1"/>
                                      <w:sz w:val="24"/>
                                      <w:szCs w:val="24"/>
                                    </w:rPr>
                                    <w:t>,</w:t>
                                  </w:r>
                                </w:p>
                              </w:txbxContent>
                            </wps:txbx>
                            <wps:bodyPr lIns="0" tIns="0" rIns="0" bIns="0" upright="1"/>
                          </wps:wsp>
                        </a:graphicData>
                      </a:graphic>
                    </wp:anchor>
                  </w:drawing>
                </mc:Choice>
                <mc:Fallback>
                  <w:pict>
                    <v:shape id="_x0000_s1026" o:spid="_x0000_s1026" o:spt="202" type="#_x0000_t202" style="position:absolute;left:0pt;margin-left:544.4pt;margin-top:12.35pt;height:6.95pt;width:3.75pt;z-index:251664384;mso-width-relative:page;mso-height-relative:page;" filled="f" stroked="f" coordsize="21600,21600" o:gfxdata="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lTg3bZAAAACwEAAA8AAAAAAAAAAQAgAAAAIgAAAGRycy9kb3ducmV2LnhtbFBLAQIU&#10;ABQAAAAIAIdO4kCjKSH1uQEAAHEDAAAOAAAAAAAAAAEAIAAAACgBAABkcnMvZTJvRG9jLnhtbFBL&#10;BQYAAAAABgAGAFkBAABTBQAAAAA=&#10;">
                      <v:fill on="f" focussize="0,0"/>
                      <v:stroke on="f"/>
                      <v:imagedata o:title=""/>
                      <o:lock v:ext="edit" aspectratio="f"/>
                      <v:textbox inset="0mm,0mm,0mm,0mm">
                        <w:txbxContent>
                          <w:p w14:paraId="5F5DDD24">
                            <w:pPr>
                              <w:spacing w:before="20" w:line="98" w:lineRule="exact"/>
                              <w:ind w:right="1"/>
                              <w:jc w:val="right"/>
                              <w:rPr>
                                <w:rFonts w:ascii="华文宋体" w:hAnsi="华文宋体" w:eastAsia="华文宋体" w:cs="华文宋体"/>
                                <w:sz w:val="24"/>
                                <w:szCs w:val="24"/>
                              </w:rPr>
                            </w:pPr>
                            <w:r>
                              <w:rPr>
                                <w:rFonts w:ascii="华文宋体" w:hAnsi="华文宋体" w:eastAsia="华文宋体" w:cs="华文宋体"/>
                                <w:color w:val="FF0000"/>
                                <w:position w:val="1"/>
                                <w:sz w:val="24"/>
                                <w:szCs w:val="24"/>
                              </w:rPr>
                              <w:t>,</w:t>
                            </w:r>
                          </w:p>
                        </w:txbxContent>
                      </v:textbox>
                    </v:shape>
                  </w:pict>
                </mc:Fallback>
              </mc:AlternateContent>
            </w:r>
            <w:r>
              <w:rPr>
                <w:rFonts w:hint="eastAsia" w:eastAsia="宋体"/>
                <w:lang w:val="en-US" w:eastAsia="zh-CN"/>
              </w:rPr>
              <w:t>（3）年龄。儿童、青少年的体温较高，随着年龄的增长体温逐渐降低。老年人由于基础代谢 率降低，身体的产热能力下降，且体温调节功能有所减退，体温的昼夜波动幅度较小，一般波动 在 0.3～0.6℃左右。此外，老年人对环境温度变化更为敏感，在昼夜交替过程中，体温更容易受 到外界环境温度的影响，稳定性较差。例如在夜间睡眠时，如果保暖措施不当，老年人的体温可 能会下降得较为明显。</w:t>
            </w:r>
          </w:p>
          <w:p w14:paraId="1D99544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（4）情绪和体力活动。情绪紧张时，肌肉张力增加和激素的作用，使产热量增多。</w:t>
            </w:r>
          </w:p>
          <w:p w14:paraId="5DCEF460">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（5）季节和地区影响。一般夏季的体温较冬季体温高。</w:t>
            </w:r>
          </w:p>
          <w:p w14:paraId="4A92E854">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二、产热和散热</w:t>
            </w:r>
          </w:p>
          <w:p w14:paraId="630E35B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1.体热平衡</w:t>
            </w:r>
          </w:p>
          <w:p w14:paraId="427E74CB">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营养物质代谢所释放的化学能在体内经过转化与利用，除做外功以外，最终都转变成热能， 并与维持体温的热量一起，由循环血液传导到机体表层并散发于体外。因此，机体在体温调节机  制的调控下，使产热过程和散热过程处于平衡，即体热平衡，维持正常的体温。</w:t>
            </w:r>
          </w:p>
          <w:p w14:paraId="7B32CC0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2.产热</w:t>
            </w:r>
          </w:p>
          <w:p w14:paraId="09B26F2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机体产热的方式一般有如下几种。</w:t>
            </w:r>
          </w:p>
          <w:p w14:paraId="2BE97B35">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（1）基础代谢产热：基础状态下，70% 左右的基础代谢产热量来自内脏和脑等深部组织器官， 它们是基础状态下主要的产热器官。</w:t>
            </w:r>
          </w:p>
          <w:p w14:paraId="333C4708">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（2）食物特殊动力效应产热：食物特殊动力作用可使机体进食后额外产生热量，但老年人消化功能减退，进食后产热增加的幅度较小。</w:t>
            </w:r>
          </w:p>
          <w:p w14:paraId="0D7A8106">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（3）骨骼肌运动产热：骨骼肌是肌肉运动时主要的产热器官，其产热量可占机体总产热量的 90%。骨骼肌的产热量则变化很大，在安静时产热量很小。</w:t>
            </w:r>
          </w:p>
          <w:p w14:paraId="74183C29">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（4）战栗产热与非战栗产热：在寒冷环境中通过这两种方式可增加产热量，维持体温的相对稳定。</w:t>
            </w:r>
          </w:p>
          <w:p w14:paraId="30C15340">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3.散热</w:t>
            </w:r>
          </w:p>
          <w:p w14:paraId="25C54C13">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（1）</w:t>
            </w:r>
            <w:r>
              <w:rPr>
                <w:rFonts w:hint="default" w:eastAsia="宋体"/>
                <w:lang w:val="en-US" w:eastAsia="zh-CN"/>
              </w:rPr>
              <w:t>散热途径：皮肤（占90%</w:t>
            </w:r>
            <w:r>
              <w:rPr>
                <w:rFonts w:hint="eastAsia" w:eastAsia="宋体"/>
                <w:lang w:val="en-US" w:eastAsia="zh-CN"/>
              </w:rPr>
              <w:t>），</w:t>
            </w:r>
            <w:r>
              <w:rPr>
                <w:rFonts w:hint="default" w:eastAsia="宋体"/>
                <w:lang w:val="en-US" w:eastAsia="zh-CN"/>
              </w:rPr>
              <w:t xml:space="preserve">呼出气、排泄物占少部分                                        </w:t>
            </w:r>
          </w:p>
          <w:p w14:paraId="2E51666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（2）</w:t>
            </w:r>
            <w:r>
              <w:rPr>
                <w:rFonts w:hint="default" w:eastAsia="宋体"/>
                <w:lang w:val="en-US" w:eastAsia="zh-CN"/>
              </w:rPr>
              <w:t>散热方式：辐射（radiation）（60%）</w:t>
            </w:r>
          </w:p>
          <w:p w14:paraId="672AC83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default" w:eastAsia="宋体"/>
                <w:lang w:val="en-US" w:eastAsia="zh-CN"/>
              </w:rPr>
              <w:t xml:space="preserve">    </w:t>
            </w:r>
            <w:r>
              <w:rPr>
                <w:rFonts w:hint="eastAsia" w:eastAsia="宋体"/>
                <w:lang w:val="en-US" w:eastAsia="zh-CN"/>
              </w:rPr>
              <w:t xml:space="preserve">           </w:t>
            </w:r>
            <w:r>
              <w:rPr>
                <w:rFonts w:hint="default" w:eastAsia="宋体"/>
                <w:lang w:val="en-US" w:eastAsia="zh-CN"/>
              </w:rPr>
              <w:t>传导（conduction）</w:t>
            </w:r>
          </w:p>
          <w:p w14:paraId="068F7633">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default" w:eastAsia="宋体"/>
                <w:lang w:val="en-US" w:eastAsia="zh-CN"/>
              </w:rPr>
              <w:t xml:space="preserve">               对流（convection）</w:t>
            </w:r>
          </w:p>
          <w:p w14:paraId="0A19697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default" w:eastAsia="宋体"/>
                <w:lang w:val="en-US" w:eastAsia="zh-CN"/>
              </w:rPr>
              <w:t xml:space="preserve">               蒸发（evaporation）：不感蒸发、出汗</w:t>
            </w:r>
          </w:p>
          <w:p w14:paraId="3B8716AF">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三、体温调节</w:t>
            </w:r>
          </w:p>
          <w:p w14:paraId="19FC0B8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1. 温度感受器：温度感受器是感受机体各个部位温度变化的特殊结构。可分为冷感受器和热感受器；也可分为外周温度感受器和中枢温度感受器。</w:t>
            </w:r>
          </w:p>
          <w:p w14:paraId="675D18A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（1）外周温度感受器。是指分布于中枢神经系统以外的温度感受器，广泛分布于全身皮肤、 黏膜、内脏和肌肉等各处，包括热感受器和冷感受器。 在一定范围内，当局部温度升高时，热  感受器兴奋；反之，当温度降低时冷感受器兴奋。</w:t>
            </w:r>
          </w:p>
          <w:p w14:paraId="773DC17B">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（2）中枢温度感受器。是指分布于脊髓、延髓、脑干网状结构，以及下丘脑等处的与体温调 节有关的温度敏感神经元。局部加热时放电活动增加的神经元称为热敏神经元，因局部冷却时放 电活动频率增加的神经元称为冷敏神经元。在下丘脑的视前区 - 下丘脑前部（PO/AH）热敏神经 元居多；而在脑干网状结构和下丘脑的弓状核，则冷敏神经元居多。</w:t>
            </w:r>
          </w:p>
          <w:p w14:paraId="0B8EC2F5">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eastAsia" w:eastAsia="宋体"/>
                <w:lang w:val="en-US" w:eastAsia="zh-CN"/>
              </w:rPr>
            </w:pPr>
            <w:r>
              <w:rPr>
                <w:rFonts w:hint="eastAsia" w:eastAsia="宋体"/>
                <w:lang w:val="en-US" w:eastAsia="zh-CN"/>
              </w:rPr>
              <w:t>2.体温调节中枢与调定点：调节体温的基本中枢在下丘脑。下丘脑局部破坏则散热反应消失，体温升高；刺激之，则引起散热反应，而且寒战受到抑制。而破坏下丘脑后部，体温下降， 产热反应受抑制；刺激之，则引起寒战。据此得出结论，下丘脑前部是散热中枢，而下丘脑后部是产热中枢。</w:t>
            </w:r>
          </w:p>
          <w:p w14:paraId="79B10A92">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p>
          <w:p w14:paraId="6B5403B6">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四、老年人体温特点</w:t>
            </w:r>
          </w:p>
          <w:p w14:paraId="499FACCE">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 xml:space="preserve">    1.</w:t>
            </w:r>
            <w:r>
              <w:rPr>
                <w:rFonts w:hint="default" w:eastAsia="宋体"/>
              </w:rPr>
              <w:t>体温调节能力下降：</w:t>
            </w:r>
          </w:p>
          <w:p w14:paraId="025595BC">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 xml:space="preserve">      （1</w:t>
            </w:r>
            <w:r>
              <w:rPr>
                <w:rFonts w:hint="eastAsia" w:eastAsia="宋体"/>
                <w:lang w:eastAsia="zh-CN"/>
              </w:rPr>
              <w:t>）</w:t>
            </w:r>
            <w:r>
              <w:rPr>
                <w:rFonts w:hint="eastAsia" w:eastAsia="宋体"/>
                <w:lang w:val="en-US" w:eastAsia="zh-CN"/>
              </w:rPr>
              <w:t>皮</w:t>
            </w:r>
            <w:r>
              <w:rPr>
                <w:rFonts w:hint="default" w:eastAsia="宋体"/>
              </w:rPr>
              <w:t>肤血管功能改变：血管弹性降低，收缩和舒张功能减弱，寒冷时热量散失增加，炎热时散热效率降低。</w:t>
            </w:r>
          </w:p>
          <w:p w14:paraId="270E18B1">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汗腺功能减退：汗腺数量减少且分泌功能下降，高温环境下出汗少，蒸发散热效果差。</w:t>
            </w:r>
          </w:p>
          <w:p w14:paraId="4D363605">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（3）</w:t>
            </w:r>
            <w:r>
              <w:rPr>
                <w:rFonts w:hint="default" w:eastAsia="宋体"/>
              </w:rPr>
              <w:t>中枢体温调节功能变化：下丘脑等中枢对体温变化敏感度降低，反应迟缓，调节精度下降。</w:t>
            </w:r>
          </w:p>
          <w:p w14:paraId="110C99F6">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ab/>
            </w:r>
          </w:p>
          <w:p w14:paraId="05BC9840">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2.</w:t>
            </w:r>
            <w:r>
              <w:rPr>
                <w:rFonts w:hint="default" w:eastAsia="宋体"/>
              </w:rPr>
              <w:t>体温正常范围及变化：</w:t>
            </w:r>
          </w:p>
          <w:p w14:paraId="36235FAC">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1</w:t>
            </w:r>
            <w:r>
              <w:rPr>
                <w:rFonts w:hint="eastAsia" w:eastAsia="宋体"/>
                <w:lang w:eastAsia="zh-CN"/>
              </w:rPr>
              <w:t>）</w:t>
            </w:r>
            <w:r>
              <w:rPr>
                <w:rFonts w:hint="default" w:eastAsia="宋体"/>
              </w:rPr>
              <w:t>正常范围与年轻人相似，腋下温度约 36.0～37.2℃。</w:t>
            </w:r>
          </w:p>
          <w:p w14:paraId="1AB3DCA2">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昼夜节律明显，早晨较低、下午或傍晚稍高，波动不超 1℃。</w:t>
            </w:r>
          </w:p>
          <w:p w14:paraId="4F4B652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3</w:t>
            </w:r>
            <w:r>
              <w:rPr>
                <w:rFonts w:hint="eastAsia" w:eastAsia="宋体"/>
                <w:lang w:eastAsia="zh-CN"/>
              </w:rPr>
              <w:t>）</w:t>
            </w:r>
            <w:r>
              <w:rPr>
                <w:rFonts w:hint="default" w:eastAsia="宋体"/>
              </w:rPr>
              <w:t>患病或虚弱时体温变化不典型，感染时可能无明显发热或升高幅度小，增加诊断难度。</w:t>
            </w:r>
          </w:p>
          <w:p w14:paraId="4B619A09">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3.</w:t>
            </w:r>
            <w:r>
              <w:rPr>
                <w:rFonts w:hint="default" w:eastAsia="宋体"/>
              </w:rPr>
              <w:t>体温异常的影响：</w:t>
            </w:r>
          </w:p>
          <w:p w14:paraId="5DAB061B">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1</w:t>
            </w:r>
            <w:r>
              <w:rPr>
                <w:rFonts w:hint="eastAsia" w:eastAsia="宋体"/>
                <w:lang w:eastAsia="zh-CN"/>
              </w:rPr>
              <w:t>）</w:t>
            </w:r>
            <w:r>
              <w:rPr>
                <w:rFonts w:hint="default" w:eastAsia="宋体"/>
              </w:rPr>
              <w:t>低体温：易在低温或保暖不足时发生，影响新陈代谢、降低免疫功能、引发心血管紊乱，严重时危及生命。</w:t>
            </w:r>
          </w:p>
          <w:p w14:paraId="009956AB">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高体温：高温环境或感染时易出现，可能导致中暑（严重时为热射病），加重原有疾病病情，甚至危及生命。</w:t>
            </w:r>
          </w:p>
          <w:p w14:paraId="66D8F679">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 xml:space="preserve"> </w:t>
            </w:r>
          </w:p>
          <w:p w14:paraId="122D0A4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五、</w:t>
            </w:r>
            <w:r>
              <w:rPr>
                <w:rFonts w:hint="default" w:eastAsia="宋体"/>
                <w:lang w:val="en-US" w:eastAsia="zh-CN"/>
              </w:rPr>
              <w:t>老年人能量代谢与体温特点的关联：生理机制与健康影响</w:t>
            </w:r>
          </w:p>
          <w:p w14:paraId="10F5A612">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val="en-US" w:eastAsia="zh-CN"/>
              </w:rPr>
              <w:t>1.</w:t>
            </w:r>
            <w:r>
              <w:rPr>
                <w:rFonts w:hint="default" w:eastAsia="宋体"/>
              </w:rPr>
              <w:t>生理机制层面的关联</w:t>
            </w:r>
          </w:p>
          <w:p w14:paraId="6A0E42F7">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1</w:t>
            </w:r>
            <w:r>
              <w:rPr>
                <w:rFonts w:hint="eastAsia" w:eastAsia="宋体"/>
                <w:lang w:eastAsia="zh-CN"/>
              </w:rPr>
              <w:t>）</w:t>
            </w:r>
            <w:r>
              <w:rPr>
                <w:rFonts w:hint="default" w:eastAsia="宋体"/>
              </w:rPr>
              <w:t>基础代谢率下降的影响：老年人因细胞数量减少、线粒体功能下降等，基础代谢率逐年降低，静息状态下产热减少。在寒冷环境中，由于能量代谢调节能力减弱，无法像年轻人那样通过肌肉颤抖等方式迅速增加能量消耗来产热，因此更容易受寒冷侵袭，体温易下降。</w:t>
            </w:r>
          </w:p>
          <w:p w14:paraId="6F9F6766">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活动量减少的作用：老年人活动量减少导致能量消耗降低，产热相应减少。在炎热环境中，本应通过汗腺分泌汗液蒸发散热维持体温平衡，但老年人汗腺功能减退，散热能力受限，即便产热不多，也可能因散热不畅出现体温升高。</w:t>
            </w:r>
          </w:p>
          <w:p w14:paraId="58A3820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210" w:firstLineChars="100"/>
              <w:rPr>
                <w:rFonts w:hint="default" w:eastAsia="宋体"/>
              </w:rPr>
            </w:pPr>
            <w:r>
              <w:rPr>
                <w:rFonts w:hint="eastAsia" w:eastAsia="宋体"/>
                <w:lang w:val="en-US" w:eastAsia="zh-CN"/>
              </w:rPr>
              <w:t>2.</w:t>
            </w:r>
            <w:r>
              <w:rPr>
                <w:rFonts w:hint="default" w:eastAsia="宋体"/>
              </w:rPr>
              <w:t>内分泌系统的调控作用</w:t>
            </w:r>
          </w:p>
          <w:p w14:paraId="32374E50">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1</w:t>
            </w:r>
            <w:r>
              <w:rPr>
                <w:rFonts w:hint="eastAsia" w:eastAsia="宋体"/>
                <w:lang w:eastAsia="zh-CN"/>
              </w:rPr>
              <w:t>）</w:t>
            </w:r>
            <w:r>
              <w:rPr>
                <w:rFonts w:hint="default" w:eastAsia="宋体"/>
              </w:rPr>
              <w:t>甲状腺素分泌减少，不仅使能量代谢速度减慢，还会影响体温调节中枢对体温变化的敏感性和调节能力，导致产热减少。</w:t>
            </w:r>
          </w:p>
          <w:p w14:paraId="78E32ED1">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胰岛素敏感性下降引起的血糖调节异常，会间接影响能量代谢和体温。高血糖可能影响神经和血管功能，干扰体温调节机制，而能量代谢紊乱又可能加重血糖异常，形成恶性循环。</w:t>
            </w:r>
          </w:p>
          <w:p w14:paraId="35D6F8F3">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rPr>
                <w:rFonts w:hint="default" w:eastAsia="宋体"/>
              </w:rPr>
            </w:pPr>
            <w:r>
              <w:rPr>
                <w:rFonts w:hint="eastAsia" w:eastAsia="宋体"/>
                <w:lang w:val="en-US" w:eastAsia="zh-CN"/>
              </w:rPr>
              <w:t>3.</w:t>
            </w:r>
            <w:r>
              <w:rPr>
                <w:rFonts w:hint="default" w:eastAsia="宋体"/>
              </w:rPr>
              <w:t>疾病状态下的相互影响</w:t>
            </w:r>
          </w:p>
          <w:p w14:paraId="7EC684D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1</w:t>
            </w:r>
            <w:r>
              <w:rPr>
                <w:rFonts w:hint="eastAsia" w:eastAsia="宋体"/>
                <w:lang w:eastAsia="zh-CN"/>
              </w:rPr>
              <w:t>）</w:t>
            </w:r>
            <w:r>
              <w:rPr>
                <w:rFonts w:hint="default" w:eastAsia="宋体"/>
              </w:rPr>
              <w:t>感染：感染引发的免疫反应消耗大量能量，老年人因能量代谢调节能力下降，无法迅速提高能量代谢满足需求，可能导致免疫功能受损，使感染加重或迁延不愈。同时，感染虽常伴体温升高，但老年人体温调节能力减弱，体温升高幅度可能较小甚至无明显发热，这种不典型体温变化易导致误诊或漏诊，延误治疗。</w:t>
            </w:r>
          </w:p>
          <w:p w14:paraId="1A48DA0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rPr>
            </w:pPr>
            <w:r>
              <w:rPr>
                <w:rFonts w:hint="eastAsia" w:eastAsia="宋体"/>
                <w:lang w:eastAsia="zh-CN"/>
              </w:rPr>
              <w:t>（</w:t>
            </w:r>
            <w:r>
              <w:rPr>
                <w:rFonts w:hint="eastAsia" w:eastAsia="宋体"/>
                <w:lang w:val="en-US" w:eastAsia="zh-CN"/>
              </w:rPr>
              <w:t>2</w:t>
            </w:r>
            <w:r>
              <w:rPr>
                <w:rFonts w:hint="eastAsia" w:eastAsia="宋体"/>
                <w:lang w:eastAsia="zh-CN"/>
              </w:rPr>
              <w:t>）</w:t>
            </w:r>
            <w:r>
              <w:rPr>
                <w:rFonts w:hint="default" w:eastAsia="宋体"/>
              </w:rPr>
              <w:t>慢性疾病：心血管疾病影响心脏泵血和血液循环，导致身体各部位血液灌注不足，既降低能量代谢效率，又干扰体温均匀分布和调节。糖尿病患者因长期高血糖和胰岛素抵抗，能量代谢紊乱，神经和血管并发症出现，进一步削弱体温调节能力，使老年人在面对环境温度变化或疾病侵袭时更脆弱，增加相关并发症风险。</w:t>
            </w:r>
          </w:p>
          <w:p w14:paraId="5F5191CD">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p>
          <w:p w14:paraId="027395DA">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p>
          <w:p w14:paraId="568EFB51">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p>
          <w:p w14:paraId="73C2E3D0">
            <w:pPr>
              <w:keepNext w:val="0"/>
              <w:keepLines w:val="0"/>
              <w:widowControl/>
              <w:numPr>
                <w:ilvl w:val="0"/>
                <w:numId w:val="0"/>
              </w:numPr>
              <w:suppressLineNumbers w:val="0"/>
              <w:pBdr>
                <w:left w:val="none" w:color="auto" w:sz="0" w:space="0"/>
              </w:pBdr>
              <w:spacing w:before="0" w:beforeAutospacing="0" w:after="0" w:afterAutospacing="0" w:line="32" w:lineRule="atLeast"/>
              <w:ind w:left="0" w:right="0" w:firstLine="420" w:firstLineChars="200"/>
              <w:rPr>
                <w:rFonts w:hint="default" w:eastAsia="宋体"/>
                <w:lang w:val="en-US" w:eastAsia="zh-CN"/>
              </w:rPr>
            </w:pPr>
            <w:r>
              <w:rPr>
                <w:rFonts w:hint="eastAsia" w:eastAsia="宋体"/>
                <w:lang w:val="en-US" w:eastAsia="zh-CN"/>
              </w:rPr>
              <w:t>【学生】思考、讨论。</w:t>
            </w:r>
          </w:p>
        </w:tc>
        <w:tc>
          <w:tcPr>
            <w:tcW w:w="1696" w:type="dxa"/>
            <w:tcBorders>
              <w:tl2br w:val="nil"/>
              <w:tr2bl w:val="nil"/>
            </w:tcBorders>
            <w:vAlign w:val="center"/>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eastAsia="宋体"/>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体温及老年人体温的特点</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BF2CB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default" w:ascii="宋体" w:hAnsi="宋体" w:eastAsia="宋体" w:cs="宋体"/>
                <w:b/>
                <w:bCs w:val="0"/>
                <w:kern w:val="2"/>
                <w:sz w:val="24"/>
                <w:szCs w:val="24"/>
                <w:lang w:val="en-US" w:eastAsia="zh-CN" w:bidi="ar"/>
              </w:rPr>
            </w:pPr>
            <w:r>
              <w:rPr>
                <w:rFonts w:hint="eastAsia" w:ascii="宋体" w:hAnsi="宋体" w:cs="宋体"/>
                <w:b/>
                <w:bCs w:val="0"/>
                <w:kern w:val="2"/>
                <w:sz w:val="24"/>
                <w:szCs w:val="24"/>
                <w:lang w:val="en-US" w:eastAsia="zh-CN" w:bidi="ar"/>
              </w:rPr>
              <w:t>体温及老年人体温的特点</w:t>
            </w:r>
          </w:p>
        </w:tc>
        <w:tc>
          <w:tcPr>
            <w:tcW w:w="169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hAnsi="宋体" w:cs="Times New Roman"/>
                <w:bCs/>
                <w:kern w:val="2"/>
                <w:sz w:val="24"/>
                <w:szCs w:val="24"/>
                <w:lang w:val="en-US" w:eastAsia="zh-CN" w:bidi="ar-SA"/>
              </w:rPr>
              <w:t>简述老年人体温的特点</w:t>
            </w:r>
          </w:p>
        </w:tc>
        <w:tc>
          <w:tcPr>
            <w:tcW w:w="169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55731051">
            <w:pPr>
              <w:keepNext w:val="0"/>
              <w:keepLines w:val="0"/>
              <w:widowControl/>
              <w:suppressLineNumbers w:val="0"/>
              <w:spacing w:before="0" w:beforeAutospacing="0" w:after="0" w:afterAutospacing="0"/>
              <w:ind w:left="0" w:right="0"/>
              <w:jc w:val="left"/>
              <w:rPr>
                <w:rFonts w:hint="eastAsia" w:hAnsi="宋体" w:eastAsia="宋体" w:cs="Times New Roman"/>
                <w:bCs/>
                <w:kern w:val="2"/>
                <w:sz w:val="24"/>
                <w:szCs w:val="24"/>
                <w:lang w:val="en-US" w:eastAsia="zh-CN" w:bidi="ar-SA"/>
              </w:rPr>
            </w:pPr>
            <w:r>
              <w:rPr>
                <w:rFonts w:hint="eastAsia" w:hAnsi="宋体" w:eastAsia="宋体" w:cs="Times New Roman"/>
                <w:bCs/>
                <w:kern w:val="2"/>
                <w:sz w:val="24"/>
                <w:szCs w:val="24"/>
                <w:lang w:val="en-US" w:eastAsia="zh-CN" w:bidi="ar-SA"/>
              </w:rPr>
              <w:t>部分学生能够掌握老年人能量代谢与体温调节关联的基本框架和主要内容，但对于一些细节性知识和深层次原理的理解还存在欠缺，进一步深入挖掘知识点，对复杂的生理机制进行更细致的剖析，结合更多的实例帮助学生理解。</w:t>
            </w:r>
          </w:p>
          <w:p w14:paraId="023B54B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Times New Roman" w:hAnsi="Times New Roman" w:eastAsia="宋体"/>
                <w:sz w:val="24"/>
                <w:szCs w:val="24"/>
                <w:lang w:val="en-US" w:eastAsia="zh-CN"/>
              </w:rPr>
            </w:pP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PingFang SC">
    <w:altName w:val="宋体"/>
    <w:panose1 w:val="020B0400000000000000"/>
    <w:charset w:val="86"/>
    <w:family w:val="auto"/>
    <w:pitch w:val="default"/>
    <w:sig w:usb0="00000000" w:usb1="00000000" w:usb2="00000017" w:usb3="00000000" w:csb0="00040001"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华文宋体">
    <w:panose1 w:val="02010600040101010101"/>
    <w:charset w:val="86"/>
    <w:family w:val="auto"/>
    <w:pitch w:val="default"/>
    <w:sig w:usb0="00000287" w:usb1="080F0000" w:usb2="00000000" w:usb3="00000000" w:csb0="0004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10"/>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F13C9B"/>
    <w:rsid w:val="21ED3737"/>
    <w:rsid w:val="238347DF"/>
    <w:rsid w:val="24B477DD"/>
    <w:rsid w:val="278141AB"/>
    <w:rsid w:val="28B578A7"/>
    <w:rsid w:val="2FBD002D"/>
    <w:rsid w:val="322A12C5"/>
    <w:rsid w:val="34AD60CD"/>
    <w:rsid w:val="34B67F89"/>
    <w:rsid w:val="368D542E"/>
    <w:rsid w:val="388B134B"/>
    <w:rsid w:val="436C72A2"/>
    <w:rsid w:val="43CD7F64"/>
    <w:rsid w:val="44B33A23"/>
    <w:rsid w:val="45C91BBA"/>
    <w:rsid w:val="49F8701E"/>
    <w:rsid w:val="4C7F0E23"/>
    <w:rsid w:val="5A7C6694"/>
    <w:rsid w:val="600E33E1"/>
    <w:rsid w:val="622A303A"/>
    <w:rsid w:val="6910203A"/>
    <w:rsid w:val="723010AC"/>
    <w:rsid w:val="7E1F5A45"/>
    <w:rsid w:val="7F9FB391"/>
    <w:rsid w:val="9ED7726A"/>
    <w:rsid w:val="FF952A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30"/>
    <w:unhideWhenUsed/>
    <w:qFormat/>
    <w:uiPriority w:val="0"/>
    <w:rPr>
      <w:rFonts w:eastAsia="黑体" w:asciiTheme="majorHAnsi" w:hAnsiTheme="majorHAnsi" w:cstheme="majorBidi"/>
      <w:sz w:val="20"/>
      <w:szCs w:val="20"/>
    </w:rPr>
  </w:style>
  <w:style w:type="paragraph" w:styleId="8">
    <w:name w:val="Body Text"/>
    <w:basedOn w:val="1"/>
    <w:semiHidden/>
    <w:qFormat/>
    <w:uiPriority w:val="0"/>
    <w:rPr>
      <w:rFonts w:ascii="PingFang SC" w:hAnsi="PingFang SC" w:eastAsia="PingFang SC" w:cs="PingFang SC"/>
      <w:sz w:val="22"/>
      <w:szCs w:val="22"/>
      <w:lang w:val="en-US" w:eastAsia="en-US" w:bidi="ar-SA"/>
    </w:rPr>
  </w:style>
  <w:style w:type="paragraph" w:styleId="9">
    <w:name w:val="footer"/>
    <w:basedOn w:val="1"/>
    <w:link w:val="21"/>
    <w:unhideWhenUsed/>
    <w:qFormat/>
    <w:uiPriority w:val="99"/>
    <w:pPr>
      <w:tabs>
        <w:tab w:val="center" w:pos="4153"/>
        <w:tab w:val="right" w:pos="8306"/>
      </w:tabs>
      <w:snapToGrid w:val="0"/>
      <w:jc w:val="left"/>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3"/>
    <w:link w:val="10"/>
    <w:qFormat/>
    <w:uiPriority w:val="99"/>
    <w:rPr>
      <w:rFonts w:ascii="Calibri" w:hAnsi="Calibri" w:eastAsia="宋体" w:cs="Times New Roman"/>
      <w:sz w:val="18"/>
      <w:szCs w:val="18"/>
    </w:rPr>
  </w:style>
  <w:style w:type="character" w:customStyle="1" w:styleId="21">
    <w:name w:val="页脚 Char"/>
    <w:basedOn w:val="13"/>
    <w:link w:val="9"/>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3"/>
    <w:link w:val="5"/>
    <w:semiHidden/>
    <w:qFormat/>
    <w:uiPriority w:val="9"/>
    <w:rPr>
      <w:rFonts w:ascii="Calibri" w:hAnsi="Calibri" w:eastAsia="宋体" w:cs="Times New Roman"/>
      <w:b/>
      <w:bCs/>
      <w:sz w:val="28"/>
      <w:szCs w:val="28"/>
    </w:rPr>
  </w:style>
  <w:style w:type="character" w:customStyle="1" w:styleId="28">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7"/>
    <w:link w:val="31"/>
    <w:qFormat/>
    <w:uiPriority w:val="0"/>
    <w:pPr>
      <w:spacing w:before="120"/>
      <w:jc w:val="center"/>
    </w:pPr>
    <w:rPr>
      <w:rFonts w:ascii="Times New Roman" w:hAnsi="Times New Roman"/>
      <w:szCs w:val="20"/>
    </w:rPr>
  </w:style>
  <w:style w:type="character" w:customStyle="1" w:styleId="30">
    <w:name w:val="题注 Char"/>
    <w:link w:val="7"/>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3"/>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4857</Words>
  <Characters>5108</Characters>
  <Lines>1</Lines>
  <Paragraphs>1</Paragraphs>
  <TotalTime>7</TotalTime>
  <ScaleCrop>false</ScaleCrop>
  <LinksUpToDate>false</LinksUpToDate>
  <CharactersWithSpaces>5333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2021-06-08T18:03:00Z</dcterms:created>
  <dc:creator>DELL</dc:creator>
  <cp:lastModifiedBy>嘟嘟</cp:lastModifiedBy>
  <dcterms:modified xsi:type="dcterms:W3CDTF">2025-09-17T02:34:01Z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838A2C502745F4D44982B9680879175D_43</vt:lpwstr>
  </property>
  <property fmtid="{D5CDD505-2E9C-101B-9397-08002B2CF9AE}" pid="4" name="KSOTemplateDocerSaveRecord">
    <vt:lpwstr>eyJoZGlkIjoiNTRhMzg2OWJjMjI3MTg1NjMwMzY2YzM2YjFhZmRkZDkiLCJ1c2VySWQiOiI2NzMyNTM1ODMifQ==</vt:lpwstr>
  </property>
</Properties>
</file>